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43E3" w:rsidRPr="00E41896" w:rsidRDefault="009E43E3" w:rsidP="009E43E3">
      <w:pPr>
        <w:adjustRightInd w:val="0"/>
        <w:snapToGrid w:val="0"/>
        <w:spacing w:line="360" w:lineRule="auto"/>
        <w:jc w:val="both"/>
        <w:rPr>
          <w:rFonts w:ascii="Palatino Linotype" w:hAnsi="Palatino Linotype"/>
          <w:sz w:val="20"/>
          <w:szCs w:val="20"/>
        </w:rPr>
      </w:pPr>
    </w:p>
    <w:p w:rsidR="009E43E3" w:rsidRPr="0042651F" w:rsidRDefault="009E43E3" w:rsidP="009E43E3">
      <w:pPr>
        <w:adjustRightInd w:val="0"/>
        <w:snapToGrid w:val="0"/>
        <w:spacing w:line="360" w:lineRule="auto"/>
        <w:jc w:val="both"/>
        <w:rPr>
          <w:rFonts w:ascii="Palatino Linotype" w:hAnsi="Palatino Linotype"/>
          <w:b/>
          <w:sz w:val="20"/>
          <w:szCs w:val="20"/>
        </w:rPr>
      </w:pPr>
      <w:r w:rsidRPr="0042651F">
        <w:rPr>
          <w:rFonts w:ascii="Palatino Linotype" w:hAnsi="Palatino Linotype" w:hint="eastAsia"/>
          <w:b/>
          <w:sz w:val="20"/>
          <w:szCs w:val="20"/>
        </w:rPr>
        <w:t>S</w:t>
      </w:r>
      <w:r w:rsidRPr="0042651F">
        <w:rPr>
          <w:rFonts w:ascii="Palatino Linotype" w:hAnsi="Palatino Linotype"/>
          <w:b/>
          <w:sz w:val="20"/>
          <w:szCs w:val="20"/>
        </w:rPr>
        <w:t>upplementary Figures Legends</w:t>
      </w:r>
    </w:p>
    <w:p w:rsidR="009E43E3" w:rsidRPr="0042651F" w:rsidRDefault="009E43E3" w:rsidP="009E43E3">
      <w:pPr>
        <w:adjustRightInd w:val="0"/>
        <w:snapToGrid w:val="0"/>
        <w:spacing w:before="120" w:afterLines="50" w:after="156" w:line="360" w:lineRule="auto"/>
        <w:jc w:val="both"/>
        <w:rPr>
          <w:rFonts w:ascii="Palatino Linotype" w:hAnsi="Palatino Linotype" w:cs="Times New Roman"/>
          <w:sz w:val="20"/>
          <w:szCs w:val="20"/>
          <w:lang w:val="en-GB"/>
        </w:rPr>
      </w:pPr>
      <w:r w:rsidRPr="0042651F">
        <w:rPr>
          <w:rFonts w:ascii="Palatino Linotype" w:hAnsi="Palatino Linotype" w:cs="Times New Roman"/>
          <w:b/>
          <w:sz w:val="20"/>
          <w:szCs w:val="20"/>
          <w:lang w:val="en-GB"/>
        </w:rPr>
        <w:t xml:space="preserve">Fig.S1 </w:t>
      </w:r>
      <w:r w:rsidRPr="0042651F">
        <w:rPr>
          <w:rFonts w:ascii="Palatino Linotype" w:hAnsi="Palatino Linotype" w:cs="Times New Roman" w:hint="eastAsia"/>
          <w:b/>
          <w:sz w:val="20"/>
          <w:szCs w:val="20"/>
          <w:lang w:val="en-GB"/>
        </w:rPr>
        <w:t xml:space="preserve">Specific labling of POMC neurons with tdTomato fluorescence. </w:t>
      </w:r>
      <w:r w:rsidRPr="0042651F">
        <w:rPr>
          <w:rFonts w:ascii="Palatino Linotype" w:hAnsi="Palatino Linotype" w:cs="Times New Roman"/>
          <w:sz w:val="20"/>
          <w:szCs w:val="20"/>
          <w:lang w:val="en-GB"/>
        </w:rPr>
        <w:t xml:space="preserve">(A) </w:t>
      </w:r>
      <w:r w:rsidRPr="0042651F">
        <w:rPr>
          <w:rFonts w:ascii="Palatino Linotype" w:hAnsi="Palatino Linotype" w:cs="Times New Roman" w:hint="eastAsia"/>
          <w:sz w:val="20"/>
          <w:szCs w:val="20"/>
          <w:lang w:val="en-GB"/>
        </w:rPr>
        <w:t xml:space="preserve">Fluorescent image of </w:t>
      </w:r>
      <w:r w:rsidRPr="0042651F">
        <w:rPr>
          <w:rFonts w:ascii="Palatino Linotype" w:hAnsi="Palatino Linotype" w:cs="Times New Roman"/>
          <w:sz w:val="20"/>
          <w:szCs w:val="20"/>
          <w:lang w:val="en-GB"/>
        </w:rPr>
        <w:t xml:space="preserve">ARC from the </w:t>
      </w:r>
      <w:r w:rsidRPr="0042651F">
        <w:rPr>
          <w:rFonts w:ascii="Palatino Linotype" w:hAnsi="Palatino Linotype" w:cs="Times New Roman"/>
          <w:i/>
          <w:sz w:val="20"/>
          <w:szCs w:val="20"/>
          <w:lang w:val="en-GB"/>
        </w:rPr>
        <w:t>Rosa</w:t>
      </w:r>
      <w:r w:rsidRPr="0042651F">
        <w:rPr>
          <w:rFonts w:ascii="Palatino Linotype" w:hAnsi="Palatino Linotype" w:cs="Times New Roman"/>
          <w:sz w:val="20"/>
          <w:szCs w:val="20"/>
          <w:vertAlign w:val="superscript"/>
          <w:lang w:val="en-GB"/>
        </w:rPr>
        <w:t>tdTomato</w:t>
      </w:r>
      <w:r w:rsidRPr="0042651F">
        <w:rPr>
          <w:rFonts w:ascii="Palatino Linotype" w:hAnsi="Palatino Linotype" w:cs="Times New Roman"/>
          <w:sz w:val="20"/>
          <w:szCs w:val="20"/>
          <w:lang w:val="en-GB"/>
        </w:rPr>
        <w:t xml:space="preserve"> and</w:t>
      </w:r>
      <w:r w:rsidRPr="0042651F">
        <w:rPr>
          <w:rFonts w:ascii="Palatino Linotype" w:hAnsi="Palatino Linotype"/>
          <w:sz w:val="20"/>
          <w:szCs w:val="20"/>
          <w:lang w:val="en-GB"/>
        </w:rPr>
        <w:t xml:space="preserve"> </w:t>
      </w:r>
      <w:r w:rsidRPr="0042651F">
        <w:rPr>
          <w:rFonts w:ascii="Palatino Linotype" w:hAnsi="Palatino Linotype"/>
          <w:i/>
          <w:sz w:val="20"/>
          <w:szCs w:val="20"/>
          <w:lang w:val="en-GB"/>
        </w:rPr>
        <w:t>Pomc-Cre</w:t>
      </w:r>
      <w:r w:rsidRPr="0042651F">
        <w:rPr>
          <w:rFonts w:ascii="Palatino Linotype" w:hAnsi="Palatino Linotype"/>
          <w:sz w:val="20"/>
          <w:szCs w:val="20"/>
          <w:lang w:val="en-GB"/>
        </w:rPr>
        <w:t>;</w:t>
      </w:r>
      <w:r w:rsidRPr="0042651F">
        <w:rPr>
          <w:rFonts w:ascii="Palatino Linotype" w:hAnsi="Palatino Linotype" w:cs="Times New Roman"/>
          <w:i/>
          <w:sz w:val="20"/>
          <w:szCs w:val="20"/>
          <w:lang w:val="en-GB"/>
        </w:rPr>
        <w:t>Rosa</w:t>
      </w:r>
      <w:r w:rsidRPr="0042651F">
        <w:rPr>
          <w:rFonts w:ascii="Palatino Linotype" w:hAnsi="Palatino Linotype" w:cs="Times New Roman"/>
          <w:sz w:val="20"/>
          <w:szCs w:val="20"/>
          <w:vertAlign w:val="superscript"/>
          <w:lang w:val="en-GB"/>
        </w:rPr>
        <w:t>tdTomato</w:t>
      </w:r>
      <w:r w:rsidRPr="0042651F">
        <w:rPr>
          <w:rFonts w:ascii="Palatino Linotype" w:hAnsi="Palatino Linotype"/>
          <w:sz w:val="20"/>
          <w:szCs w:val="20"/>
          <w:lang w:val="en-GB"/>
        </w:rPr>
        <w:t xml:space="preserve"> mice. </w:t>
      </w:r>
      <w:r w:rsidRPr="0042651F">
        <w:rPr>
          <w:rFonts w:ascii="Palatino Linotype" w:hAnsi="Palatino Linotype" w:cs="Times New Roman" w:hint="eastAsia"/>
          <w:sz w:val="20"/>
          <w:szCs w:val="20"/>
          <w:lang w:val="en-GB"/>
        </w:rPr>
        <w:t>Reporter</w:t>
      </w:r>
      <w:r w:rsidRPr="0042651F">
        <w:rPr>
          <w:rFonts w:ascii="Palatino Linotype" w:hAnsi="Palatino Linotype"/>
          <w:sz w:val="20"/>
          <w:szCs w:val="20"/>
          <w:lang w:val="en-GB"/>
        </w:rPr>
        <w:t xml:space="preserve"> tdTomato </w:t>
      </w:r>
      <w:r w:rsidRPr="0042651F">
        <w:rPr>
          <w:rFonts w:ascii="Palatino Linotype" w:hAnsi="Palatino Linotype" w:hint="eastAsia"/>
          <w:sz w:val="20"/>
          <w:szCs w:val="20"/>
          <w:lang w:val="en-GB"/>
        </w:rPr>
        <w:t xml:space="preserve">fluorescence </w:t>
      </w:r>
      <w:r w:rsidRPr="0042651F">
        <w:rPr>
          <w:rFonts w:ascii="Palatino Linotype" w:hAnsi="Palatino Linotype" w:cs="Times New Roman"/>
          <w:sz w:val="20"/>
          <w:szCs w:val="20"/>
          <w:lang w:val="en-GB"/>
        </w:rPr>
        <w:t>was specifically expressed in ARC POMC neurons</w:t>
      </w:r>
      <w:r w:rsidRPr="0042651F">
        <w:rPr>
          <w:rFonts w:ascii="Palatino Linotype" w:hAnsi="Palatino Linotype" w:cs="Times New Roman" w:hint="eastAsia"/>
          <w:sz w:val="20"/>
          <w:szCs w:val="20"/>
          <w:lang w:val="en-GB"/>
        </w:rPr>
        <w:t xml:space="preserve"> of </w:t>
      </w:r>
      <w:r w:rsidRPr="0042651F">
        <w:rPr>
          <w:rFonts w:ascii="Palatino Linotype" w:hAnsi="Palatino Linotype"/>
          <w:i/>
          <w:sz w:val="20"/>
          <w:szCs w:val="20"/>
          <w:lang w:val="en-GB"/>
        </w:rPr>
        <w:t>Pomc-Cre</w:t>
      </w:r>
      <w:r w:rsidRPr="0042651F">
        <w:rPr>
          <w:rFonts w:ascii="Palatino Linotype" w:hAnsi="Palatino Linotype"/>
          <w:sz w:val="20"/>
          <w:szCs w:val="20"/>
          <w:lang w:val="en-GB"/>
        </w:rPr>
        <w:t>;</w:t>
      </w:r>
      <w:r w:rsidRPr="0042651F">
        <w:rPr>
          <w:rFonts w:ascii="Palatino Linotype" w:hAnsi="Palatino Linotype" w:cs="Times New Roman"/>
          <w:i/>
          <w:sz w:val="20"/>
          <w:szCs w:val="20"/>
          <w:lang w:val="en-GB"/>
        </w:rPr>
        <w:t>Rosa</w:t>
      </w:r>
      <w:r w:rsidRPr="0042651F">
        <w:rPr>
          <w:rFonts w:ascii="Palatino Linotype" w:hAnsi="Palatino Linotype" w:cs="Times New Roman"/>
          <w:sz w:val="20"/>
          <w:szCs w:val="20"/>
          <w:vertAlign w:val="superscript"/>
          <w:lang w:val="en-GB"/>
        </w:rPr>
        <w:t>tdTomato</w:t>
      </w:r>
      <w:r w:rsidRPr="0042651F">
        <w:rPr>
          <w:rFonts w:ascii="Palatino Linotype" w:hAnsi="Palatino Linotype"/>
          <w:sz w:val="20"/>
          <w:szCs w:val="20"/>
          <w:lang w:val="en-GB"/>
        </w:rPr>
        <w:t xml:space="preserve"> mice</w:t>
      </w:r>
      <w:r w:rsidRPr="0042651F">
        <w:rPr>
          <w:rFonts w:ascii="Palatino Linotype" w:hAnsi="Palatino Linotype" w:cs="Times New Roman"/>
          <w:sz w:val="20"/>
          <w:szCs w:val="20"/>
          <w:lang w:val="en-GB"/>
        </w:rPr>
        <w:t>. (B)</w:t>
      </w:r>
      <w:r w:rsidRPr="0042651F">
        <w:rPr>
          <w:rFonts w:ascii="Palatino Linotype" w:hAnsi="Palatino Linotype" w:cs="Times New Roman" w:hint="eastAsia"/>
          <w:sz w:val="20"/>
          <w:szCs w:val="20"/>
          <w:lang w:val="en-GB"/>
        </w:rPr>
        <w:t xml:space="preserve"> POMC</w:t>
      </w:r>
      <w:r w:rsidRPr="0042651F">
        <w:rPr>
          <w:rFonts w:ascii="Palatino Linotype" w:hAnsi="Palatino Linotype" w:cs="Times New Roman"/>
          <w:sz w:val="20"/>
          <w:szCs w:val="20"/>
          <w:lang w:val="en-GB"/>
        </w:rPr>
        <w:t xml:space="preserve"> </w:t>
      </w:r>
      <w:r w:rsidRPr="0042651F">
        <w:rPr>
          <w:rFonts w:ascii="Palatino Linotype" w:hAnsi="Palatino Linotype" w:cs="Times New Roman" w:hint="eastAsia"/>
          <w:sz w:val="20"/>
          <w:szCs w:val="20"/>
          <w:lang w:val="en-GB"/>
        </w:rPr>
        <w:t xml:space="preserve">Neuronal loss rate following </w:t>
      </w:r>
      <w:r w:rsidRPr="0042651F">
        <w:rPr>
          <w:rFonts w:ascii="Palatino Linotype" w:hAnsi="Palatino Linotype" w:cs="Times New Roman" w:hint="eastAsia"/>
          <w:i/>
          <w:sz w:val="20"/>
          <w:szCs w:val="20"/>
          <w:lang w:val="en-GB"/>
        </w:rPr>
        <w:t>Rb1</w:t>
      </w:r>
      <w:r w:rsidRPr="0042651F">
        <w:rPr>
          <w:rFonts w:ascii="Palatino Linotype" w:hAnsi="Palatino Linotype" w:cs="Times New Roman" w:hint="eastAsia"/>
          <w:sz w:val="20"/>
          <w:szCs w:val="20"/>
          <w:lang w:val="en-GB"/>
        </w:rPr>
        <w:t xml:space="preserve"> loss was </w:t>
      </w:r>
      <w:r w:rsidRPr="0042651F">
        <w:rPr>
          <w:rFonts w:ascii="Palatino Linotype" w:hAnsi="Palatino Linotype" w:cs="Times New Roman"/>
          <w:sz w:val="20"/>
          <w:szCs w:val="20"/>
          <w:lang w:val="en-GB"/>
        </w:rPr>
        <w:t>similar</w:t>
      </w:r>
      <w:r w:rsidRPr="0042651F">
        <w:rPr>
          <w:rFonts w:ascii="Palatino Linotype" w:hAnsi="Palatino Linotype" w:cs="Times New Roman" w:hint="eastAsia"/>
          <w:sz w:val="20"/>
          <w:szCs w:val="20"/>
          <w:lang w:val="en-GB"/>
        </w:rPr>
        <w:t xml:space="preserve"> determined by POMC IHC staining (65% reduction) or genetics based labling of POMC neurons with tdTomato fluorescent reporter (70% reduction). </w:t>
      </w:r>
      <w:r w:rsidRPr="0042651F">
        <w:rPr>
          <w:rFonts w:ascii="Palatino Linotype" w:hAnsi="Palatino Linotype" w:cs="Times New Roman"/>
          <w:sz w:val="20"/>
          <w:szCs w:val="20"/>
          <w:lang w:val="en-GB"/>
        </w:rPr>
        <w:t>POMC neuron numbers were counted on sections</w:t>
      </w:r>
      <w:r w:rsidRPr="0042651F">
        <w:rPr>
          <w:rFonts w:ascii="Palatino Linotype" w:hAnsi="Palatino Linotype" w:cs="Times New Roman" w:hint="eastAsia"/>
          <w:sz w:val="20"/>
          <w:szCs w:val="20"/>
          <w:lang w:val="en-GB"/>
        </w:rPr>
        <w:t xml:space="preserve"> by IHC or tdTomato fluorescence, respectively. </w:t>
      </w:r>
    </w:p>
    <w:p w:rsidR="009E43E3" w:rsidRPr="0042651F" w:rsidRDefault="009E43E3" w:rsidP="009E43E3">
      <w:pPr>
        <w:adjustRightInd w:val="0"/>
        <w:snapToGrid w:val="0"/>
        <w:spacing w:before="50" w:after="50" w:line="360" w:lineRule="auto"/>
        <w:rPr>
          <w:rFonts w:ascii="Palatino Linotype" w:hAnsi="Palatino Linotype"/>
          <w:sz w:val="20"/>
          <w:szCs w:val="20"/>
          <w:lang w:val="en-GB"/>
        </w:rPr>
      </w:pPr>
      <w:r w:rsidRPr="0042651F">
        <w:rPr>
          <w:rFonts w:ascii="Palatino Linotype" w:hAnsi="Palatino Linotype"/>
          <w:b/>
          <w:sz w:val="20"/>
          <w:szCs w:val="20"/>
          <w:lang w:val="en-GB"/>
        </w:rPr>
        <w:t>Fig.S2 The expression level of specific genes and gene correlation landscape</w:t>
      </w:r>
      <w:r w:rsidRPr="0042651F">
        <w:rPr>
          <w:rFonts w:ascii="Palatino Linotype" w:hAnsi="Palatino Linotype"/>
          <w:sz w:val="20"/>
          <w:szCs w:val="20"/>
          <w:lang w:val="en-GB"/>
        </w:rPr>
        <w:t xml:space="preserve"> of (A) cell cycle pathway (B) apoptosis pathway (C) chemokine signa</w:t>
      </w:r>
      <w:r w:rsidRPr="0042651F">
        <w:rPr>
          <w:rFonts w:ascii="Palatino Linotype" w:hAnsi="Palatino Linotype" w:hint="eastAsia"/>
          <w:sz w:val="20"/>
          <w:szCs w:val="20"/>
          <w:lang w:val="en-GB"/>
        </w:rPr>
        <w:t>ling</w:t>
      </w:r>
      <w:r w:rsidRPr="0042651F">
        <w:rPr>
          <w:rFonts w:ascii="Palatino Linotype" w:hAnsi="Palatino Linotype"/>
          <w:sz w:val="20"/>
          <w:szCs w:val="20"/>
          <w:lang w:val="en-GB"/>
        </w:rPr>
        <w:t xml:space="preserve"> pathway (D) sphingolipid metabolism pathway.</w:t>
      </w:r>
    </w:p>
    <w:p w:rsidR="009E43E3" w:rsidRPr="0042651F" w:rsidRDefault="009E43E3" w:rsidP="009E43E3">
      <w:pPr>
        <w:adjustRightInd w:val="0"/>
        <w:snapToGrid w:val="0"/>
        <w:spacing w:before="120" w:afterLines="50" w:after="156" w:line="360" w:lineRule="auto"/>
        <w:jc w:val="both"/>
        <w:rPr>
          <w:rFonts w:ascii="Palatino Linotype" w:hAnsi="Palatino Linotype"/>
          <w:sz w:val="20"/>
          <w:szCs w:val="20"/>
          <w:lang w:val="en-GB"/>
        </w:rPr>
      </w:pPr>
      <w:r w:rsidRPr="0042651F">
        <w:rPr>
          <w:rFonts w:ascii="Palatino Linotype" w:hAnsi="Palatino Linotype"/>
          <w:b/>
          <w:sz w:val="20"/>
          <w:szCs w:val="20"/>
          <w:lang w:val="en-GB"/>
        </w:rPr>
        <w:t>Fig.S3</w:t>
      </w:r>
      <w:r w:rsidRPr="0042651F">
        <w:rPr>
          <w:rFonts w:ascii="Palatino Linotype" w:hAnsi="Palatino Linotype"/>
          <w:sz w:val="20"/>
          <w:szCs w:val="20"/>
          <w:lang w:val="en-GB"/>
        </w:rPr>
        <w:t xml:space="preserve"> </w:t>
      </w:r>
      <w:r w:rsidRPr="0042651F">
        <w:rPr>
          <w:rFonts w:ascii="Palatino Linotype" w:hAnsi="Palatino Linotype" w:hint="eastAsia"/>
          <w:b/>
          <w:sz w:val="20"/>
          <w:szCs w:val="20"/>
          <w:lang w:val="en-GB"/>
        </w:rPr>
        <w:t>pRb phosphorylation by HFD feeding does not exist in astrocytes</w:t>
      </w:r>
      <w:r w:rsidRPr="0042651F">
        <w:rPr>
          <w:rFonts w:ascii="Palatino Linotype" w:hAnsi="Palatino Linotype" w:hint="eastAsia"/>
          <w:sz w:val="20"/>
          <w:szCs w:val="20"/>
          <w:lang w:val="en-GB"/>
        </w:rPr>
        <w:t xml:space="preserve">. </w:t>
      </w:r>
      <w:r w:rsidRPr="0042651F">
        <w:rPr>
          <w:rFonts w:ascii="Palatino Linotype" w:hAnsi="Palatino Linotype" w:cs="Times New Roman"/>
          <w:sz w:val="20"/>
          <w:szCs w:val="20"/>
          <w:lang w:val="en-GB"/>
        </w:rPr>
        <w:t xml:space="preserve">ARC sections </w:t>
      </w:r>
      <w:r w:rsidRPr="0042651F">
        <w:rPr>
          <w:rFonts w:ascii="Palatino Linotype" w:hAnsi="Palatino Linotype" w:cs="Times New Roman" w:hint="eastAsia"/>
          <w:sz w:val="20"/>
          <w:szCs w:val="20"/>
          <w:lang w:val="en-GB"/>
        </w:rPr>
        <w:t xml:space="preserve">from </w:t>
      </w:r>
      <w:r w:rsidRPr="0042651F">
        <w:rPr>
          <w:rFonts w:ascii="Palatino Linotype" w:hAnsi="Palatino Linotype" w:cs="Times New Roman"/>
          <w:i/>
          <w:sz w:val="20"/>
          <w:szCs w:val="20"/>
          <w:lang w:val="en-GB"/>
        </w:rPr>
        <w:t>Pomc-Cre; RosaR(GFP)</w:t>
      </w:r>
      <w:r w:rsidRPr="0042651F">
        <w:rPr>
          <w:rFonts w:ascii="Palatino Linotype" w:hAnsi="Palatino Linotype" w:cs="Times New Roman"/>
          <w:sz w:val="20"/>
          <w:szCs w:val="20"/>
          <w:lang w:val="en-GB"/>
        </w:rPr>
        <w:t xml:space="preserve"> </w:t>
      </w:r>
      <w:r w:rsidRPr="0042651F">
        <w:rPr>
          <w:rFonts w:ascii="Palatino Linotype" w:hAnsi="Palatino Linotype" w:cs="Times New Roman" w:hint="eastAsia"/>
          <w:sz w:val="20"/>
          <w:szCs w:val="20"/>
          <w:lang w:val="en-GB"/>
        </w:rPr>
        <w:t xml:space="preserve">mice in RD and HFD groups were co-stained </w:t>
      </w:r>
      <w:r w:rsidRPr="0042651F">
        <w:rPr>
          <w:rFonts w:ascii="Palatino Linotype" w:hAnsi="Palatino Linotype" w:cs="Times New Roman"/>
          <w:sz w:val="20"/>
          <w:szCs w:val="20"/>
          <w:lang w:val="en-GB"/>
        </w:rPr>
        <w:t>with</w:t>
      </w:r>
      <w:r w:rsidRPr="0042651F">
        <w:rPr>
          <w:rFonts w:ascii="Palatino Linotype" w:hAnsi="Palatino Linotype" w:cs="Times New Roman" w:hint="eastAsia"/>
          <w:sz w:val="20"/>
          <w:szCs w:val="20"/>
          <w:lang w:val="en-GB"/>
        </w:rPr>
        <w:t xml:space="preserve"> antibodies against </w:t>
      </w:r>
      <w:r w:rsidRPr="0042651F">
        <w:rPr>
          <w:rFonts w:ascii="Palatino Linotype" w:hAnsi="Palatino Linotype" w:cs="Times New Roman"/>
          <w:sz w:val="20"/>
          <w:szCs w:val="20"/>
          <w:lang w:val="en-GB"/>
        </w:rPr>
        <w:t>pR</w:t>
      </w:r>
      <w:r w:rsidRPr="0042651F">
        <w:rPr>
          <w:rFonts w:ascii="Palatino Linotype" w:hAnsi="Palatino Linotype" w:cs="Times New Roman" w:hint="eastAsia"/>
          <w:sz w:val="20"/>
          <w:szCs w:val="20"/>
          <w:lang w:val="en-GB"/>
        </w:rPr>
        <w:t>b</w:t>
      </w:r>
      <w:r w:rsidRPr="0042651F">
        <w:rPr>
          <w:rFonts w:ascii="Palatino Linotype" w:hAnsi="Palatino Linotype" w:cs="Times New Roman"/>
          <w:sz w:val="20"/>
          <w:szCs w:val="20"/>
          <w:lang w:val="en-GB"/>
        </w:rPr>
        <w:t>S608</w:t>
      </w:r>
      <w:r w:rsidRPr="0042651F">
        <w:rPr>
          <w:rFonts w:ascii="Palatino Linotype" w:hAnsi="Palatino Linotype" w:cs="Times New Roman" w:hint="eastAsia"/>
          <w:sz w:val="20"/>
          <w:szCs w:val="20"/>
          <w:lang w:val="en-GB"/>
        </w:rPr>
        <w:t xml:space="preserve">p (red) and astryocyte marker </w:t>
      </w:r>
      <w:r w:rsidRPr="0042651F">
        <w:rPr>
          <w:rFonts w:ascii="Palatino Linotype" w:hAnsi="Palatino Linotype" w:cs="Times New Roman"/>
          <w:sz w:val="20"/>
          <w:szCs w:val="20"/>
          <w:lang w:val="en-GB"/>
        </w:rPr>
        <w:t xml:space="preserve">GFAP (green). </w:t>
      </w:r>
      <w:r w:rsidRPr="0042651F">
        <w:rPr>
          <w:rFonts w:ascii="Palatino Linotype" w:hAnsi="Palatino Linotype"/>
          <w:color w:val="FF0000"/>
          <w:sz w:val="20"/>
          <w:szCs w:val="20"/>
          <w:lang w:val="en-GB"/>
        </w:rPr>
        <w:t xml:space="preserve"> </w:t>
      </w:r>
    </w:p>
    <w:p w:rsidR="009E43E3" w:rsidRDefault="009E43E3" w:rsidP="009E43E3">
      <w:pPr>
        <w:adjustRightInd w:val="0"/>
        <w:snapToGrid w:val="0"/>
        <w:spacing w:before="120" w:afterLines="50" w:after="156" w:line="360" w:lineRule="auto"/>
        <w:jc w:val="both"/>
        <w:rPr>
          <w:rFonts w:ascii="Palatino Linotype" w:hAnsi="Palatino Linotype"/>
          <w:sz w:val="20"/>
          <w:szCs w:val="20"/>
          <w:lang w:val="en-GB"/>
        </w:rPr>
      </w:pPr>
      <w:r w:rsidRPr="0042651F">
        <w:rPr>
          <w:rFonts w:ascii="Palatino Linotype" w:hAnsi="Palatino Linotype"/>
          <w:b/>
          <w:sz w:val="20"/>
          <w:szCs w:val="20"/>
          <w:lang w:val="en-GB"/>
        </w:rPr>
        <w:t>Fig.S4</w:t>
      </w:r>
      <w:r w:rsidRPr="0042651F">
        <w:rPr>
          <w:rFonts w:ascii="Palatino Linotype" w:hAnsi="Palatino Linotype"/>
          <w:sz w:val="20"/>
          <w:szCs w:val="20"/>
          <w:lang w:val="en-GB"/>
        </w:rPr>
        <w:t xml:space="preserve">. </w:t>
      </w:r>
      <w:r w:rsidRPr="0042651F">
        <w:rPr>
          <w:rFonts w:ascii="Palatino Linotype" w:hAnsi="Palatino Linotype" w:cs="Times New Roman" w:hint="eastAsia"/>
          <w:b/>
          <w:sz w:val="20"/>
          <w:szCs w:val="20"/>
        </w:rPr>
        <w:t>S</w:t>
      </w:r>
      <w:r w:rsidRPr="0042651F">
        <w:rPr>
          <w:rFonts w:ascii="Palatino Linotype" w:hAnsi="Palatino Linotype" w:cs="Times New Roman"/>
          <w:b/>
          <w:sz w:val="20"/>
          <w:szCs w:val="20"/>
        </w:rPr>
        <w:t xml:space="preserve">tereotaxic </w:t>
      </w:r>
      <w:r w:rsidRPr="0042651F">
        <w:rPr>
          <w:rFonts w:ascii="Palatino Linotype" w:hAnsi="Palatino Linotype" w:cs="Times New Roman" w:hint="eastAsia"/>
          <w:b/>
          <w:sz w:val="20"/>
          <w:szCs w:val="20"/>
        </w:rPr>
        <w:t>delivery</w:t>
      </w:r>
      <w:r w:rsidRPr="0042651F">
        <w:rPr>
          <w:rFonts w:ascii="Palatino Linotype" w:hAnsi="Palatino Linotype" w:cs="Times New Roman"/>
          <w:b/>
          <w:sz w:val="20"/>
          <w:szCs w:val="20"/>
        </w:rPr>
        <w:t xml:space="preserve"> of unphosphorylated pRb</w:t>
      </w:r>
      <w:r w:rsidRPr="0042651F">
        <w:rPr>
          <w:rFonts w:ascii="Palatino Linotype" w:hAnsi="Palatino Linotype"/>
          <w:bCs/>
          <w:sz w:val="20"/>
          <w:szCs w:val="20"/>
          <w:lang w:val="en-GB"/>
        </w:rPr>
        <w:t>b</w:t>
      </w:r>
      <w:r w:rsidRPr="0042651F">
        <w:rPr>
          <w:rFonts w:ascii="Cambria Math" w:hAnsi="Cambria Math" w:cs="Cambria Math" w:hint="eastAsia"/>
          <w:b/>
          <w:bCs/>
          <w:sz w:val="20"/>
          <w:szCs w:val="20"/>
          <w:lang w:val="en-GB"/>
        </w:rPr>
        <w:t>△</w:t>
      </w:r>
      <w:r w:rsidRPr="0042651F">
        <w:rPr>
          <w:rFonts w:ascii="Cambria Math" w:hAnsi="Cambria Math" w:cs="Cambria Math" w:hint="eastAsia"/>
          <w:b/>
          <w:bCs/>
          <w:sz w:val="20"/>
          <w:szCs w:val="20"/>
          <w:lang w:val="en-GB"/>
        </w:rPr>
        <w:t>P</w:t>
      </w:r>
      <w:r w:rsidRPr="0042651F">
        <w:rPr>
          <w:rFonts w:ascii="Palatino Linotype" w:hAnsi="Palatino Linotype" w:cs="Times New Roman"/>
          <w:b/>
          <w:sz w:val="20"/>
          <w:szCs w:val="20"/>
        </w:rPr>
        <w:t xml:space="preserve"> </w:t>
      </w:r>
      <w:r w:rsidRPr="0042651F">
        <w:rPr>
          <w:rFonts w:ascii="Palatino Linotype" w:hAnsi="Palatino Linotype" w:cs="Times New Roman" w:hint="eastAsia"/>
          <w:b/>
          <w:sz w:val="20"/>
          <w:szCs w:val="20"/>
        </w:rPr>
        <w:t>to</w:t>
      </w:r>
      <w:r w:rsidRPr="0042651F">
        <w:rPr>
          <w:rFonts w:ascii="Palatino Linotype" w:hAnsi="Palatino Linotype" w:cs="Times New Roman"/>
          <w:b/>
          <w:sz w:val="20"/>
          <w:szCs w:val="20"/>
        </w:rPr>
        <w:t xml:space="preserve"> ARC</w:t>
      </w:r>
      <w:r w:rsidRPr="0042651F">
        <w:rPr>
          <w:rFonts w:ascii="Palatino Linotype" w:hAnsi="Palatino Linotype" w:cs="Times New Roman" w:hint="eastAsia"/>
          <w:b/>
          <w:sz w:val="20"/>
          <w:szCs w:val="20"/>
        </w:rPr>
        <w:t xml:space="preserve"> mitigate the hypothalamic inflamiation by HFD feeding.</w:t>
      </w:r>
      <w:r w:rsidRPr="0042651F">
        <w:rPr>
          <w:rFonts w:ascii="Palatino Linotype" w:hAnsi="Palatino Linotype"/>
          <w:sz w:val="20"/>
          <w:szCs w:val="20"/>
          <w:lang w:val="en-GB"/>
        </w:rPr>
        <w:t xml:space="preserve"> (A) The relat</w:t>
      </w:r>
      <w:r w:rsidRPr="0042651F">
        <w:rPr>
          <w:rFonts w:ascii="Palatino Linotype" w:hAnsi="Palatino Linotype" w:hint="eastAsia"/>
          <w:sz w:val="20"/>
          <w:szCs w:val="20"/>
          <w:lang w:val="en-GB"/>
        </w:rPr>
        <w:t>ive</w:t>
      </w:r>
      <w:r w:rsidRPr="0042651F">
        <w:rPr>
          <w:rFonts w:ascii="Palatino Linotype" w:hAnsi="Palatino Linotype"/>
          <w:sz w:val="20"/>
          <w:szCs w:val="20"/>
          <w:lang w:val="en-GB"/>
        </w:rPr>
        <w:t xml:space="preserve"> mRNA level of WPRE in the</w:t>
      </w:r>
      <w:r w:rsidRPr="0042651F">
        <w:rPr>
          <w:rFonts w:ascii="Palatino Linotype" w:hAnsi="Palatino Linotype"/>
          <w:i/>
          <w:sz w:val="20"/>
          <w:szCs w:val="20"/>
          <w:lang w:val="en-GB"/>
        </w:rPr>
        <w:t xml:space="preserve"> </w:t>
      </w:r>
      <w:r w:rsidRPr="0042651F">
        <w:rPr>
          <w:rFonts w:ascii="Palatino Linotype" w:hAnsi="Palatino Linotype"/>
          <w:sz w:val="20"/>
          <w:szCs w:val="20"/>
          <w:lang w:val="en-GB"/>
        </w:rPr>
        <w:t>hypothalamus</w:t>
      </w:r>
      <w:r w:rsidRPr="0042651F">
        <w:rPr>
          <w:rFonts w:ascii="Palatino Linotype" w:hAnsi="Palatino Linotype" w:hint="eastAsia"/>
          <w:sz w:val="20"/>
          <w:szCs w:val="20"/>
          <w:lang w:val="en-GB"/>
        </w:rPr>
        <w:t xml:space="preserve"> </w:t>
      </w:r>
      <w:r w:rsidRPr="0042651F">
        <w:rPr>
          <w:rFonts w:ascii="Palatino Linotype" w:hAnsi="Palatino Linotype" w:cs="Times New Roman" w:hint="eastAsia"/>
          <w:sz w:val="20"/>
          <w:szCs w:val="20"/>
          <w:lang w:val="en-GB"/>
        </w:rPr>
        <w:t>injected with lenti-</w:t>
      </w:r>
      <w:r w:rsidRPr="0042651F">
        <w:rPr>
          <w:rFonts w:ascii="Palatino Linotype" w:hAnsi="Palatino Linotype" w:cs="Times New Roman"/>
          <w:sz w:val="20"/>
          <w:szCs w:val="20"/>
          <w:lang w:val="en-GB"/>
        </w:rPr>
        <w:t xml:space="preserve">GFP </w:t>
      </w:r>
      <w:r w:rsidRPr="0042651F">
        <w:rPr>
          <w:rFonts w:ascii="Palatino Linotype" w:hAnsi="Palatino Linotype" w:cs="Times New Roman" w:hint="eastAsia"/>
          <w:sz w:val="20"/>
          <w:szCs w:val="20"/>
          <w:lang w:val="en-GB"/>
        </w:rPr>
        <w:t>or</w:t>
      </w:r>
      <w:r w:rsidRPr="0042651F">
        <w:rPr>
          <w:rFonts w:ascii="Palatino Linotype" w:hAnsi="Palatino Linotype"/>
          <w:bCs/>
          <w:sz w:val="20"/>
          <w:szCs w:val="20"/>
          <w:lang w:val="en-GB"/>
        </w:rPr>
        <w:t xml:space="preserve"> </w:t>
      </w:r>
      <w:r w:rsidRPr="0042651F">
        <w:rPr>
          <w:rFonts w:ascii="Palatino Linotype" w:hAnsi="Palatino Linotype" w:hint="eastAsia"/>
          <w:bCs/>
          <w:sz w:val="20"/>
          <w:szCs w:val="20"/>
          <w:lang w:val="en-GB"/>
        </w:rPr>
        <w:t>lenti-</w:t>
      </w:r>
      <w:r w:rsidRPr="0042651F">
        <w:rPr>
          <w:rFonts w:ascii="Palatino Linotype" w:hAnsi="Palatino Linotype"/>
          <w:bCs/>
          <w:sz w:val="20"/>
          <w:szCs w:val="20"/>
          <w:lang w:val="en-GB"/>
        </w:rPr>
        <w:t>pRb</w:t>
      </w:r>
      <w:r w:rsidRPr="0042651F">
        <w:rPr>
          <w:rFonts w:ascii="Cambria Math" w:hAnsi="Cambria Math" w:cs="Cambria Math" w:hint="eastAsia"/>
          <w:bCs/>
          <w:sz w:val="20"/>
          <w:szCs w:val="20"/>
          <w:lang w:val="en-GB"/>
        </w:rPr>
        <w:t>△</w:t>
      </w:r>
      <w:r w:rsidRPr="0042651F">
        <w:rPr>
          <w:rFonts w:ascii="Cambria Math" w:hAnsi="Cambria Math" w:cs="Cambria Math" w:hint="eastAsia"/>
          <w:bCs/>
          <w:sz w:val="20"/>
          <w:szCs w:val="20"/>
          <w:lang w:val="en-GB"/>
        </w:rPr>
        <w:t>P virus</w:t>
      </w:r>
      <w:r w:rsidRPr="0042651F">
        <w:rPr>
          <w:rFonts w:ascii="Palatino Linotype" w:hAnsi="Palatino Linotype"/>
          <w:sz w:val="20"/>
          <w:szCs w:val="20"/>
          <w:lang w:val="en-GB"/>
        </w:rPr>
        <w:t>.</w:t>
      </w:r>
      <w:r w:rsidRPr="0042651F">
        <w:rPr>
          <w:rFonts w:ascii="Palatino Linotype" w:hAnsi="Palatino Linotype"/>
          <w:sz w:val="20"/>
          <w:szCs w:val="20"/>
        </w:rPr>
        <w:t xml:space="preserve"> </w:t>
      </w:r>
      <w:r w:rsidRPr="0042651F">
        <w:rPr>
          <w:rFonts w:ascii="Palatino Linotype" w:hAnsi="Palatino Linotype"/>
          <w:sz w:val="20"/>
          <w:szCs w:val="20"/>
          <w:lang w:val="en-GB"/>
        </w:rPr>
        <w:t>(B)</w:t>
      </w:r>
      <w:r w:rsidRPr="0042651F">
        <w:rPr>
          <w:rFonts w:ascii="Palatino Linotype" w:hAnsi="Palatino Linotype" w:cs="Times New Roman"/>
          <w:sz w:val="20"/>
          <w:szCs w:val="20"/>
          <w:lang w:val="en-GB"/>
        </w:rPr>
        <w:t xml:space="preserve"> </w:t>
      </w:r>
      <w:r w:rsidRPr="0042651F">
        <w:rPr>
          <w:rFonts w:ascii="Palatino Linotype" w:hAnsi="Palatino Linotype" w:cs="Times New Roman" w:hint="eastAsia"/>
          <w:sz w:val="20"/>
          <w:szCs w:val="20"/>
          <w:lang w:val="en-GB"/>
        </w:rPr>
        <w:t xml:space="preserve">Native GFP fluorescence image of </w:t>
      </w:r>
      <w:r w:rsidRPr="0042651F">
        <w:rPr>
          <w:rFonts w:ascii="Palatino Linotype" w:hAnsi="Palatino Linotype" w:cs="Times New Roman"/>
          <w:sz w:val="20"/>
          <w:szCs w:val="20"/>
          <w:lang w:val="en-GB"/>
        </w:rPr>
        <w:t xml:space="preserve">ARC </w:t>
      </w:r>
      <w:r w:rsidRPr="0042651F">
        <w:rPr>
          <w:rFonts w:ascii="Palatino Linotype" w:hAnsi="Palatino Linotype" w:cs="Times New Roman" w:hint="eastAsia"/>
          <w:sz w:val="20"/>
          <w:szCs w:val="20"/>
          <w:lang w:val="en-GB"/>
        </w:rPr>
        <w:t>injected with lenti-</w:t>
      </w:r>
      <w:r w:rsidRPr="0042651F">
        <w:rPr>
          <w:rFonts w:ascii="Palatino Linotype" w:hAnsi="Palatino Linotype" w:cs="Times New Roman"/>
          <w:sz w:val="20"/>
          <w:szCs w:val="20"/>
          <w:lang w:val="en-GB"/>
        </w:rPr>
        <w:t>GFP</w:t>
      </w:r>
      <w:r w:rsidRPr="0042651F">
        <w:rPr>
          <w:rFonts w:ascii="Palatino Linotype" w:hAnsi="Palatino Linotype" w:cs="Times New Roman" w:hint="eastAsia"/>
          <w:sz w:val="20"/>
          <w:szCs w:val="20"/>
          <w:lang w:val="en-GB"/>
        </w:rPr>
        <w:t xml:space="preserve"> virus</w:t>
      </w:r>
      <w:r w:rsidRPr="0042651F">
        <w:rPr>
          <w:rFonts w:ascii="Palatino Linotype" w:hAnsi="Palatino Linotype"/>
          <w:sz w:val="20"/>
          <w:szCs w:val="20"/>
          <w:lang w:val="en-GB"/>
        </w:rPr>
        <w:t xml:space="preserve">. (C) </w:t>
      </w:r>
      <w:r w:rsidRPr="0042651F">
        <w:rPr>
          <w:rFonts w:ascii="Palatino Linotype" w:hAnsi="Palatino Linotype" w:cs="Times New Roman"/>
          <w:sz w:val="20"/>
          <w:szCs w:val="20"/>
          <w:lang w:val="en-GB"/>
        </w:rPr>
        <w:t xml:space="preserve">ARC sections </w:t>
      </w:r>
      <w:r w:rsidRPr="0042651F">
        <w:rPr>
          <w:rFonts w:ascii="Palatino Linotype" w:hAnsi="Palatino Linotype" w:cs="Times New Roman" w:hint="eastAsia"/>
          <w:sz w:val="20"/>
          <w:szCs w:val="20"/>
          <w:lang w:val="en-GB"/>
        </w:rPr>
        <w:t>from mice in RD group and HFD group injected with lenti-</w:t>
      </w:r>
      <w:r w:rsidRPr="0042651F">
        <w:rPr>
          <w:rFonts w:ascii="Palatino Linotype" w:hAnsi="Palatino Linotype" w:cs="Times New Roman"/>
          <w:sz w:val="20"/>
          <w:szCs w:val="20"/>
          <w:lang w:val="en-GB"/>
        </w:rPr>
        <w:t xml:space="preserve">GFP </w:t>
      </w:r>
      <w:r w:rsidRPr="0042651F">
        <w:rPr>
          <w:rFonts w:ascii="Palatino Linotype" w:hAnsi="Palatino Linotype" w:cs="Times New Roman" w:hint="eastAsia"/>
          <w:sz w:val="20"/>
          <w:szCs w:val="20"/>
          <w:lang w:val="en-GB"/>
        </w:rPr>
        <w:t>or</w:t>
      </w:r>
      <w:r w:rsidRPr="0042651F">
        <w:rPr>
          <w:rFonts w:ascii="Palatino Linotype" w:hAnsi="Palatino Linotype"/>
          <w:bCs/>
          <w:sz w:val="20"/>
          <w:szCs w:val="20"/>
          <w:lang w:val="en-GB"/>
        </w:rPr>
        <w:t xml:space="preserve"> </w:t>
      </w:r>
      <w:r w:rsidRPr="0042651F">
        <w:rPr>
          <w:rFonts w:ascii="Palatino Linotype" w:hAnsi="Palatino Linotype" w:hint="eastAsia"/>
          <w:bCs/>
          <w:sz w:val="20"/>
          <w:szCs w:val="20"/>
          <w:lang w:val="en-GB"/>
        </w:rPr>
        <w:t>lenti-</w:t>
      </w:r>
      <w:r w:rsidRPr="0042651F">
        <w:rPr>
          <w:rFonts w:ascii="Palatino Linotype" w:hAnsi="Palatino Linotype"/>
          <w:bCs/>
          <w:sz w:val="20"/>
          <w:szCs w:val="20"/>
          <w:lang w:val="en-GB"/>
        </w:rPr>
        <w:t>pRb</w:t>
      </w:r>
      <w:r w:rsidRPr="0042651F">
        <w:rPr>
          <w:rFonts w:ascii="Cambria Math" w:hAnsi="Cambria Math" w:cs="Cambria Math" w:hint="eastAsia"/>
          <w:bCs/>
          <w:sz w:val="20"/>
          <w:szCs w:val="20"/>
          <w:lang w:val="en-GB"/>
        </w:rPr>
        <w:t>△</w:t>
      </w:r>
      <w:r w:rsidRPr="0042651F">
        <w:rPr>
          <w:rFonts w:ascii="Cambria Math" w:hAnsi="Cambria Math" w:cs="Cambria Math" w:hint="eastAsia"/>
          <w:bCs/>
          <w:sz w:val="20"/>
          <w:szCs w:val="20"/>
          <w:lang w:val="en-GB"/>
        </w:rPr>
        <w:t xml:space="preserve">P virus </w:t>
      </w:r>
      <w:r w:rsidRPr="0042651F">
        <w:rPr>
          <w:rFonts w:ascii="Palatino Linotype" w:hAnsi="Palatino Linotype" w:cs="Times New Roman" w:hint="eastAsia"/>
          <w:sz w:val="20"/>
          <w:szCs w:val="20"/>
          <w:lang w:val="en-GB"/>
        </w:rPr>
        <w:t xml:space="preserve">were co-stained </w:t>
      </w:r>
      <w:r w:rsidRPr="0042651F">
        <w:rPr>
          <w:rFonts w:ascii="Palatino Linotype" w:hAnsi="Palatino Linotype" w:cs="Times New Roman"/>
          <w:sz w:val="20"/>
          <w:szCs w:val="20"/>
          <w:lang w:val="en-GB"/>
        </w:rPr>
        <w:t>with</w:t>
      </w:r>
      <w:r w:rsidRPr="0042651F">
        <w:rPr>
          <w:rFonts w:ascii="Palatino Linotype" w:hAnsi="Palatino Linotype" w:cs="Times New Roman" w:hint="eastAsia"/>
          <w:sz w:val="20"/>
          <w:szCs w:val="20"/>
          <w:lang w:val="en-GB"/>
        </w:rPr>
        <w:t xml:space="preserve"> antibody against </w:t>
      </w:r>
      <w:r w:rsidRPr="0042651F">
        <w:rPr>
          <w:rFonts w:ascii="Palatino Linotype" w:hAnsi="Palatino Linotype"/>
          <w:sz w:val="20"/>
          <w:szCs w:val="20"/>
          <w:lang w:val="en-GB"/>
        </w:rPr>
        <w:t>allograft inflammatory factor 1 (Iba1)</w:t>
      </w:r>
      <w:r w:rsidRPr="0042651F">
        <w:rPr>
          <w:rFonts w:ascii="Palatino Linotype" w:hAnsi="Palatino Linotype" w:hint="eastAsia"/>
          <w:sz w:val="20"/>
          <w:szCs w:val="20"/>
          <w:lang w:val="en-GB"/>
        </w:rPr>
        <w:t xml:space="preserve"> and DAPI to indicate hypothalamic </w:t>
      </w:r>
      <w:r w:rsidRPr="0042651F">
        <w:rPr>
          <w:rFonts w:ascii="Palatino Linotype" w:hAnsi="Palatino Linotype"/>
          <w:sz w:val="20"/>
          <w:szCs w:val="20"/>
          <w:lang w:val="en-GB"/>
        </w:rPr>
        <w:t>inflammation</w:t>
      </w:r>
      <w:r w:rsidRPr="0042651F">
        <w:rPr>
          <w:rFonts w:ascii="Palatino Linotype" w:hAnsi="Palatino Linotype" w:hint="eastAsia"/>
          <w:sz w:val="20"/>
          <w:szCs w:val="20"/>
          <w:lang w:val="en-GB"/>
        </w:rPr>
        <w:t xml:space="preserve"> status</w:t>
      </w:r>
    </w:p>
    <w:p w:rsidR="009E43E3" w:rsidRDefault="009E43E3" w:rsidP="009E43E3">
      <w:pPr>
        <w:adjustRightInd w:val="0"/>
        <w:snapToGrid w:val="0"/>
        <w:spacing w:line="360" w:lineRule="auto"/>
        <w:jc w:val="both"/>
        <w:rPr>
          <w:rFonts w:ascii="Palatino Linotype" w:hAnsi="Palatino Linotype"/>
          <w:b/>
          <w:sz w:val="20"/>
          <w:szCs w:val="20"/>
        </w:rPr>
      </w:pPr>
      <w:r w:rsidRPr="0042651F">
        <w:rPr>
          <w:rFonts w:ascii="Palatino Linotype" w:hAnsi="Palatino Linotype" w:hint="eastAsia"/>
          <w:b/>
          <w:sz w:val="20"/>
          <w:szCs w:val="20"/>
        </w:rPr>
        <w:t>S</w:t>
      </w:r>
      <w:r w:rsidRPr="0042651F">
        <w:rPr>
          <w:rFonts w:ascii="Palatino Linotype" w:hAnsi="Palatino Linotype"/>
          <w:b/>
          <w:sz w:val="20"/>
          <w:szCs w:val="20"/>
        </w:rPr>
        <w:t>upplementary</w:t>
      </w:r>
      <w:r>
        <w:rPr>
          <w:rFonts w:ascii="Palatino Linotype" w:hAnsi="Palatino Linotype"/>
          <w:b/>
          <w:sz w:val="20"/>
          <w:szCs w:val="20"/>
        </w:rPr>
        <w:t xml:space="preserve"> Materials</w:t>
      </w:r>
    </w:p>
    <w:p w:rsidR="009E43E3" w:rsidRPr="00065183" w:rsidRDefault="009E43E3" w:rsidP="009E43E3">
      <w:pPr>
        <w:adjustRightInd w:val="0"/>
        <w:snapToGrid w:val="0"/>
        <w:spacing w:line="360" w:lineRule="auto"/>
        <w:jc w:val="both"/>
        <w:rPr>
          <w:rFonts w:ascii="Palatino Linotype" w:hAnsi="Palatino Linotype"/>
          <w:sz w:val="20"/>
          <w:szCs w:val="20"/>
        </w:rPr>
      </w:pPr>
      <w:r w:rsidRPr="00065183">
        <w:rPr>
          <w:rFonts w:ascii="Palatino Linotype" w:hAnsi="Palatino Linotype" w:hint="eastAsia"/>
          <w:sz w:val="20"/>
          <w:szCs w:val="20"/>
        </w:rPr>
        <w:t>A</w:t>
      </w:r>
      <w:r w:rsidRPr="00065183">
        <w:rPr>
          <w:rFonts w:ascii="Palatino Linotype" w:hAnsi="Palatino Linotype"/>
          <w:sz w:val="20"/>
          <w:szCs w:val="20"/>
        </w:rPr>
        <w:t xml:space="preserve">ll of the supplementary files and figures was available in the Zendo (Url: </w:t>
      </w:r>
      <w:hyperlink r:id="rId4" w:history="1">
        <w:r w:rsidRPr="00065183">
          <w:rPr>
            <w:rStyle w:val="a3"/>
            <w:rFonts w:ascii="Palatino Linotype" w:hAnsi="Palatino Linotype"/>
            <w:sz w:val="20"/>
            <w:szCs w:val="20"/>
          </w:rPr>
          <w:t>https://doi.org/10.5281/zenodo.3569987</w:t>
        </w:r>
      </w:hyperlink>
      <w:r w:rsidRPr="00065183">
        <w:rPr>
          <w:rFonts w:ascii="Palatino Linotype" w:hAnsi="Palatino Linotype"/>
          <w:sz w:val="20"/>
          <w:szCs w:val="20"/>
        </w:rPr>
        <w:t>).</w:t>
      </w:r>
    </w:p>
    <w:p w:rsidR="00CE2FB6" w:rsidRPr="009E43E3" w:rsidRDefault="00CE2FB6">
      <w:pPr>
        <w:rPr>
          <w:rFonts w:ascii="Palatino Linotype" w:hAnsi="Palatino Linotype" w:hint="eastAsia"/>
          <w:sz w:val="20"/>
          <w:szCs w:val="20"/>
          <w:lang w:val="en-GB"/>
        </w:rPr>
      </w:pPr>
      <w:bookmarkStart w:id="0" w:name="_GoBack"/>
      <w:bookmarkEnd w:id="0"/>
    </w:p>
    <w:sectPr w:rsidR="00CE2FB6" w:rsidRPr="009E43E3" w:rsidSect="00173C50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3E3"/>
    <w:rsid w:val="000055A5"/>
    <w:rsid w:val="00022E9D"/>
    <w:rsid w:val="000250FF"/>
    <w:rsid w:val="00026350"/>
    <w:rsid w:val="00030028"/>
    <w:rsid w:val="00030783"/>
    <w:rsid w:val="000318AE"/>
    <w:rsid w:val="0003779E"/>
    <w:rsid w:val="00042A36"/>
    <w:rsid w:val="00047059"/>
    <w:rsid w:val="000519C2"/>
    <w:rsid w:val="00052015"/>
    <w:rsid w:val="000637B5"/>
    <w:rsid w:val="00065FA8"/>
    <w:rsid w:val="00076429"/>
    <w:rsid w:val="00076532"/>
    <w:rsid w:val="00076AE8"/>
    <w:rsid w:val="00087B7A"/>
    <w:rsid w:val="00087C1B"/>
    <w:rsid w:val="000A3540"/>
    <w:rsid w:val="000B27EC"/>
    <w:rsid w:val="000B46FB"/>
    <w:rsid w:val="000C2FCE"/>
    <w:rsid w:val="000C3757"/>
    <w:rsid w:val="000D28E6"/>
    <w:rsid w:val="000D29EC"/>
    <w:rsid w:val="000D4164"/>
    <w:rsid w:val="000E03B2"/>
    <w:rsid w:val="000E4093"/>
    <w:rsid w:val="000E4200"/>
    <w:rsid w:val="000E5348"/>
    <w:rsid w:val="000F1241"/>
    <w:rsid w:val="001026DA"/>
    <w:rsid w:val="00103470"/>
    <w:rsid w:val="001115E2"/>
    <w:rsid w:val="00114C0D"/>
    <w:rsid w:val="00117163"/>
    <w:rsid w:val="00126F05"/>
    <w:rsid w:val="001279D7"/>
    <w:rsid w:val="001403A2"/>
    <w:rsid w:val="001420DD"/>
    <w:rsid w:val="00142F33"/>
    <w:rsid w:val="00147D24"/>
    <w:rsid w:val="001508A4"/>
    <w:rsid w:val="00156E06"/>
    <w:rsid w:val="00173C50"/>
    <w:rsid w:val="00174757"/>
    <w:rsid w:val="001835B6"/>
    <w:rsid w:val="001874BC"/>
    <w:rsid w:val="00191BDD"/>
    <w:rsid w:val="001A2694"/>
    <w:rsid w:val="001A2F17"/>
    <w:rsid w:val="001A6118"/>
    <w:rsid w:val="001C1267"/>
    <w:rsid w:val="001D3625"/>
    <w:rsid w:val="001D58AF"/>
    <w:rsid w:val="001E2E96"/>
    <w:rsid w:val="00200B42"/>
    <w:rsid w:val="00205BCD"/>
    <w:rsid w:val="002169E6"/>
    <w:rsid w:val="002244BD"/>
    <w:rsid w:val="00227C02"/>
    <w:rsid w:val="00245D15"/>
    <w:rsid w:val="00251536"/>
    <w:rsid w:val="0025676B"/>
    <w:rsid w:val="00257C9C"/>
    <w:rsid w:val="002626EA"/>
    <w:rsid w:val="0026619A"/>
    <w:rsid w:val="00270448"/>
    <w:rsid w:val="0027089E"/>
    <w:rsid w:val="00276573"/>
    <w:rsid w:val="0029036F"/>
    <w:rsid w:val="00293B6F"/>
    <w:rsid w:val="00294507"/>
    <w:rsid w:val="002A23E0"/>
    <w:rsid w:val="002A6175"/>
    <w:rsid w:val="002A7164"/>
    <w:rsid w:val="002C0A0D"/>
    <w:rsid w:val="002C7E4E"/>
    <w:rsid w:val="002D28B6"/>
    <w:rsid w:val="002D76F6"/>
    <w:rsid w:val="002F6529"/>
    <w:rsid w:val="00310CCD"/>
    <w:rsid w:val="00313140"/>
    <w:rsid w:val="00313E7C"/>
    <w:rsid w:val="0032299B"/>
    <w:rsid w:val="003266D8"/>
    <w:rsid w:val="00336983"/>
    <w:rsid w:val="003412D6"/>
    <w:rsid w:val="00341A8C"/>
    <w:rsid w:val="00342655"/>
    <w:rsid w:val="00363613"/>
    <w:rsid w:val="00366092"/>
    <w:rsid w:val="003811FB"/>
    <w:rsid w:val="00387C98"/>
    <w:rsid w:val="0039220C"/>
    <w:rsid w:val="003A25DC"/>
    <w:rsid w:val="003B38AD"/>
    <w:rsid w:val="003B4169"/>
    <w:rsid w:val="003B607B"/>
    <w:rsid w:val="003C3160"/>
    <w:rsid w:val="003D61D6"/>
    <w:rsid w:val="003E1B51"/>
    <w:rsid w:val="004045C5"/>
    <w:rsid w:val="0041208F"/>
    <w:rsid w:val="00413D7E"/>
    <w:rsid w:val="00421AC9"/>
    <w:rsid w:val="00426252"/>
    <w:rsid w:val="00426A89"/>
    <w:rsid w:val="00433D63"/>
    <w:rsid w:val="00444A8E"/>
    <w:rsid w:val="00451CAF"/>
    <w:rsid w:val="00454A85"/>
    <w:rsid w:val="0046669E"/>
    <w:rsid w:val="00472769"/>
    <w:rsid w:val="00473404"/>
    <w:rsid w:val="0047531E"/>
    <w:rsid w:val="00484CE4"/>
    <w:rsid w:val="004857D0"/>
    <w:rsid w:val="00487CB7"/>
    <w:rsid w:val="004A0EA1"/>
    <w:rsid w:val="004A4910"/>
    <w:rsid w:val="004B2932"/>
    <w:rsid w:val="004C4396"/>
    <w:rsid w:val="004C5B81"/>
    <w:rsid w:val="004D2832"/>
    <w:rsid w:val="004D7035"/>
    <w:rsid w:val="004E4CB9"/>
    <w:rsid w:val="004F0D2B"/>
    <w:rsid w:val="005020C6"/>
    <w:rsid w:val="0050477C"/>
    <w:rsid w:val="00505077"/>
    <w:rsid w:val="005058FB"/>
    <w:rsid w:val="00506A86"/>
    <w:rsid w:val="00530652"/>
    <w:rsid w:val="0053169F"/>
    <w:rsid w:val="00531AB8"/>
    <w:rsid w:val="005343CD"/>
    <w:rsid w:val="0054567D"/>
    <w:rsid w:val="0055205D"/>
    <w:rsid w:val="00582C58"/>
    <w:rsid w:val="00585C13"/>
    <w:rsid w:val="00587E18"/>
    <w:rsid w:val="005A6AB0"/>
    <w:rsid w:val="005B6076"/>
    <w:rsid w:val="005C2FD5"/>
    <w:rsid w:val="005C3229"/>
    <w:rsid w:val="005C4DB2"/>
    <w:rsid w:val="005C669D"/>
    <w:rsid w:val="005C7C99"/>
    <w:rsid w:val="005D04D9"/>
    <w:rsid w:val="005D539C"/>
    <w:rsid w:val="005E7612"/>
    <w:rsid w:val="00603C18"/>
    <w:rsid w:val="006052A8"/>
    <w:rsid w:val="0061326A"/>
    <w:rsid w:val="00622412"/>
    <w:rsid w:val="0063553B"/>
    <w:rsid w:val="006835EF"/>
    <w:rsid w:val="006A1643"/>
    <w:rsid w:val="006A1E30"/>
    <w:rsid w:val="006B3055"/>
    <w:rsid w:val="006B7875"/>
    <w:rsid w:val="006C02E4"/>
    <w:rsid w:val="006C5C81"/>
    <w:rsid w:val="006D5F84"/>
    <w:rsid w:val="006E2EF6"/>
    <w:rsid w:val="00711BED"/>
    <w:rsid w:val="00714C5D"/>
    <w:rsid w:val="00723330"/>
    <w:rsid w:val="00724329"/>
    <w:rsid w:val="00735FDD"/>
    <w:rsid w:val="007377FF"/>
    <w:rsid w:val="007402F2"/>
    <w:rsid w:val="00740EBE"/>
    <w:rsid w:val="00742CF2"/>
    <w:rsid w:val="00751266"/>
    <w:rsid w:val="00751C38"/>
    <w:rsid w:val="00762843"/>
    <w:rsid w:val="00763CBB"/>
    <w:rsid w:val="0076505F"/>
    <w:rsid w:val="007710B8"/>
    <w:rsid w:val="00780FA4"/>
    <w:rsid w:val="0079093A"/>
    <w:rsid w:val="00792957"/>
    <w:rsid w:val="00795140"/>
    <w:rsid w:val="007973C3"/>
    <w:rsid w:val="007B059E"/>
    <w:rsid w:val="007B493F"/>
    <w:rsid w:val="007C21CC"/>
    <w:rsid w:val="007C4F56"/>
    <w:rsid w:val="007D69BE"/>
    <w:rsid w:val="007E5223"/>
    <w:rsid w:val="007E531F"/>
    <w:rsid w:val="007F3113"/>
    <w:rsid w:val="007F7CD7"/>
    <w:rsid w:val="00802D37"/>
    <w:rsid w:val="00802EA9"/>
    <w:rsid w:val="00813CA2"/>
    <w:rsid w:val="00815134"/>
    <w:rsid w:val="00821BC6"/>
    <w:rsid w:val="00822BFD"/>
    <w:rsid w:val="0082309A"/>
    <w:rsid w:val="00825BD5"/>
    <w:rsid w:val="0083319C"/>
    <w:rsid w:val="00844175"/>
    <w:rsid w:val="008664F3"/>
    <w:rsid w:val="0088052A"/>
    <w:rsid w:val="008925E1"/>
    <w:rsid w:val="008B2BC9"/>
    <w:rsid w:val="008E4FD8"/>
    <w:rsid w:val="008E619C"/>
    <w:rsid w:val="008F120F"/>
    <w:rsid w:val="00904CA3"/>
    <w:rsid w:val="00907FF1"/>
    <w:rsid w:val="00910BE0"/>
    <w:rsid w:val="009110F0"/>
    <w:rsid w:val="00912034"/>
    <w:rsid w:val="00912DD2"/>
    <w:rsid w:val="0094523E"/>
    <w:rsid w:val="00952D71"/>
    <w:rsid w:val="0095427C"/>
    <w:rsid w:val="00957F9F"/>
    <w:rsid w:val="009831B3"/>
    <w:rsid w:val="009A08A1"/>
    <w:rsid w:val="009A4C1F"/>
    <w:rsid w:val="009B2F15"/>
    <w:rsid w:val="009C0BC9"/>
    <w:rsid w:val="009C3D83"/>
    <w:rsid w:val="009D3260"/>
    <w:rsid w:val="009E019C"/>
    <w:rsid w:val="009E17E3"/>
    <w:rsid w:val="009E43E3"/>
    <w:rsid w:val="009E794F"/>
    <w:rsid w:val="009F5A85"/>
    <w:rsid w:val="00A05618"/>
    <w:rsid w:val="00A11C4E"/>
    <w:rsid w:val="00A20F8B"/>
    <w:rsid w:val="00A21758"/>
    <w:rsid w:val="00A307C3"/>
    <w:rsid w:val="00A30C81"/>
    <w:rsid w:val="00A33F96"/>
    <w:rsid w:val="00A34301"/>
    <w:rsid w:val="00A3495F"/>
    <w:rsid w:val="00A35F62"/>
    <w:rsid w:val="00A35FD9"/>
    <w:rsid w:val="00A42275"/>
    <w:rsid w:val="00A42DF3"/>
    <w:rsid w:val="00A4314A"/>
    <w:rsid w:val="00A553F6"/>
    <w:rsid w:val="00A55CD7"/>
    <w:rsid w:val="00A56CEA"/>
    <w:rsid w:val="00A6151C"/>
    <w:rsid w:val="00A672BD"/>
    <w:rsid w:val="00A67B45"/>
    <w:rsid w:val="00A70157"/>
    <w:rsid w:val="00A76DB7"/>
    <w:rsid w:val="00A80F96"/>
    <w:rsid w:val="00A86832"/>
    <w:rsid w:val="00A91233"/>
    <w:rsid w:val="00A9547A"/>
    <w:rsid w:val="00AA0F82"/>
    <w:rsid w:val="00AA1366"/>
    <w:rsid w:val="00AA30D6"/>
    <w:rsid w:val="00AA7ACB"/>
    <w:rsid w:val="00AB3B13"/>
    <w:rsid w:val="00AB7C8E"/>
    <w:rsid w:val="00AC49B8"/>
    <w:rsid w:val="00AD6034"/>
    <w:rsid w:val="00AD6178"/>
    <w:rsid w:val="00AE4529"/>
    <w:rsid w:val="00AE7F4D"/>
    <w:rsid w:val="00B004EB"/>
    <w:rsid w:val="00B04C2F"/>
    <w:rsid w:val="00B11F9E"/>
    <w:rsid w:val="00B1722A"/>
    <w:rsid w:val="00B22432"/>
    <w:rsid w:val="00B2626D"/>
    <w:rsid w:val="00B341E4"/>
    <w:rsid w:val="00B351BF"/>
    <w:rsid w:val="00B50187"/>
    <w:rsid w:val="00B54AC1"/>
    <w:rsid w:val="00B678BB"/>
    <w:rsid w:val="00B804A0"/>
    <w:rsid w:val="00B821D5"/>
    <w:rsid w:val="00B86695"/>
    <w:rsid w:val="00B91651"/>
    <w:rsid w:val="00B91A64"/>
    <w:rsid w:val="00B91EDA"/>
    <w:rsid w:val="00BA22FB"/>
    <w:rsid w:val="00BA46B9"/>
    <w:rsid w:val="00BB113D"/>
    <w:rsid w:val="00BB427D"/>
    <w:rsid w:val="00BD09F1"/>
    <w:rsid w:val="00BD3E55"/>
    <w:rsid w:val="00BD5409"/>
    <w:rsid w:val="00BE0645"/>
    <w:rsid w:val="00BF073B"/>
    <w:rsid w:val="00BF5A4C"/>
    <w:rsid w:val="00BF68FC"/>
    <w:rsid w:val="00BF7B66"/>
    <w:rsid w:val="00C02399"/>
    <w:rsid w:val="00C04459"/>
    <w:rsid w:val="00C0449C"/>
    <w:rsid w:val="00C15F93"/>
    <w:rsid w:val="00C1790E"/>
    <w:rsid w:val="00C17FFD"/>
    <w:rsid w:val="00C31C44"/>
    <w:rsid w:val="00C3645F"/>
    <w:rsid w:val="00C412F7"/>
    <w:rsid w:val="00C52D5D"/>
    <w:rsid w:val="00C605DD"/>
    <w:rsid w:val="00C60770"/>
    <w:rsid w:val="00C65964"/>
    <w:rsid w:val="00C86543"/>
    <w:rsid w:val="00C944FF"/>
    <w:rsid w:val="00CA2A66"/>
    <w:rsid w:val="00CD30DC"/>
    <w:rsid w:val="00CD713B"/>
    <w:rsid w:val="00CE2FB6"/>
    <w:rsid w:val="00CE32D2"/>
    <w:rsid w:val="00D02612"/>
    <w:rsid w:val="00D05840"/>
    <w:rsid w:val="00D10BFD"/>
    <w:rsid w:val="00D12364"/>
    <w:rsid w:val="00D1383E"/>
    <w:rsid w:val="00D1685B"/>
    <w:rsid w:val="00D24161"/>
    <w:rsid w:val="00D245D8"/>
    <w:rsid w:val="00D26357"/>
    <w:rsid w:val="00D2670A"/>
    <w:rsid w:val="00D3121C"/>
    <w:rsid w:val="00D34E50"/>
    <w:rsid w:val="00D352D8"/>
    <w:rsid w:val="00D4060F"/>
    <w:rsid w:val="00D42347"/>
    <w:rsid w:val="00D42CA7"/>
    <w:rsid w:val="00D43F70"/>
    <w:rsid w:val="00D46F90"/>
    <w:rsid w:val="00D53109"/>
    <w:rsid w:val="00D55095"/>
    <w:rsid w:val="00D55981"/>
    <w:rsid w:val="00D576A1"/>
    <w:rsid w:val="00D63E81"/>
    <w:rsid w:val="00D71E82"/>
    <w:rsid w:val="00D9139C"/>
    <w:rsid w:val="00D95B8E"/>
    <w:rsid w:val="00DA2993"/>
    <w:rsid w:val="00DA77E8"/>
    <w:rsid w:val="00DA79B9"/>
    <w:rsid w:val="00DB263B"/>
    <w:rsid w:val="00DC32B2"/>
    <w:rsid w:val="00DC5A1A"/>
    <w:rsid w:val="00DC62D9"/>
    <w:rsid w:val="00DD0F0C"/>
    <w:rsid w:val="00DE1BBC"/>
    <w:rsid w:val="00DE3B06"/>
    <w:rsid w:val="00DE433B"/>
    <w:rsid w:val="00DE6C6D"/>
    <w:rsid w:val="00E0157B"/>
    <w:rsid w:val="00E045DA"/>
    <w:rsid w:val="00E04F16"/>
    <w:rsid w:val="00E05645"/>
    <w:rsid w:val="00E15E2E"/>
    <w:rsid w:val="00E270E6"/>
    <w:rsid w:val="00E32610"/>
    <w:rsid w:val="00E32C45"/>
    <w:rsid w:val="00E42E43"/>
    <w:rsid w:val="00E51A1E"/>
    <w:rsid w:val="00E53410"/>
    <w:rsid w:val="00E6104B"/>
    <w:rsid w:val="00E8248A"/>
    <w:rsid w:val="00EA0959"/>
    <w:rsid w:val="00EA0A91"/>
    <w:rsid w:val="00EA33C0"/>
    <w:rsid w:val="00EA3874"/>
    <w:rsid w:val="00EA6A22"/>
    <w:rsid w:val="00EB3C8F"/>
    <w:rsid w:val="00EB787E"/>
    <w:rsid w:val="00EC0474"/>
    <w:rsid w:val="00EC6001"/>
    <w:rsid w:val="00EE169B"/>
    <w:rsid w:val="00EE709E"/>
    <w:rsid w:val="00EF7B07"/>
    <w:rsid w:val="00F05A01"/>
    <w:rsid w:val="00F13CD3"/>
    <w:rsid w:val="00F14E37"/>
    <w:rsid w:val="00F22FD8"/>
    <w:rsid w:val="00F2451F"/>
    <w:rsid w:val="00F25368"/>
    <w:rsid w:val="00F25D86"/>
    <w:rsid w:val="00F26ACF"/>
    <w:rsid w:val="00F340BB"/>
    <w:rsid w:val="00F35EAC"/>
    <w:rsid w:val="00F402EB"/>
    <w:rsid w:val="00F44C3D"/>
    <w:rsid w:val="00F46F0F"/>
    <w:rsid w:val="00F4774C"/>
    <w:rsid w:val="00F47796"/>
    <w:rsid w:val="00F53F2A"/>
    <w:rsid w:val="00F56961"/>
    <w:rsid w:val="00F572D5"/>
    <w:rsid w:val="00F5763B"/>
    <w:rsid w:val="00F57BA1"/>
    <w:rsid w:val="00F70A87"/>
    <w:rsid w:val="00F72AAF"/>
    <w:rsid w:val="00F85E74"/>
    <w:rsid w:val="00F90634"/>
    <w:rsid w:val="00FA5741"/>
    <w:rsid w:val="00FA7E24"/>
    <w:rsid w:val="00FC3ED8"/>
    <w:rsid w:val="00FD1017"/>
    <w:rsid w:val="00FD76F9"/>
    <w:rsid w:val="00FF3036"/>
    <w:rsid w:val="00FF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48E816"/>
  <w15:chartTrackingRefBased/>
  <w15:docId w15:val="{601CBE2B-C962-024B-9EAF-E62C9A5E8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43E3"/>
    <w:rPr>
      <w:rFonts w:ascii="宋体" w:hAnsi="宋体" w:cs="宋体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E43E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i.org/10.5281/zenodo.3569987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</dc:creator>
  <cp:keywords/>
  <dc:description/>
  <cp:lastModifiedBy>peng</cp:lastModifiedBy>
  <cp:revision>1</cp:revision>
  <dcterms:created xsi:type="dcterms:W3CDTF">2019-12-14T04:12:00Z</dcterms:created>
  <dcterms:modified xsi:type="dcterms:W3CDTF">2019-12-14T04:13:00Z</dcterms:modified>
</cp:coreProperties>
</file>